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C6CEF" w14:textId="6B4D0EC7" w:rsidR="004D26FF" w:rsidRDefault="004D26FF">
      <w:r>
        <w:rPr>
          <w:rFonts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5424CE7" wp14:editId="78585138">
            <wp:simplePos x="0" y="0"/>
            <wp:positionH relativeFrom="column">
              <wp:posOffset>-963038</wp:posOffset>
            </wp:positionH>
            <wp:positionV relativeFrom="page">
              <wp:posOffset>-175098</wp:posOffset>
            </wp:positionV>
            <wp:extent cx="7568119" cy="1817885"/>
            <wp:effectExtent l="0" t="0" r="1270" b="0"/>
            <wp:wrapNone/>
            <wp:docPr id="1" name="Picture 1" descr="KAT_Lhead_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T_Lhead_to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842" cy="182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1B4C3" w14:textId="2E57E49A" w:rsidR="004D26FF" w:rsidRDefault="00CB0658" w:rsidP="00CB065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</w:t>
      </w:r>
      <w:r w:rsidR="004D26FF" w:rsidRPr="004D26FF">
        <w:rPr>
          <w:rFonts w:ascii="Arial" w:hAnsi="Arial" w:cs="Arial"/>
          <w:b/>
          <w:bCs/>
        </w:rPr>
        <w:t>KHS SKI TRIP 2026</w:t>
      </w:r>
    </w:p>
    <w:p w14:paraId="65575BDE" w14:textId="636C39C6" w:rsidR="00363DFF" w:rsidRDefault="004D26FF" w:rsidP="004D26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Parent/Guardian, </w:t>
      </w:r>
    </w:p>
    <w:p w14:paraId="76260779" w14:textId="024B524F" w:rsidR="00994C79" w:rsidRDefault="004D26FF" w:rsidP="004D26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are delighted to announce the launch of another Kingstone High School Ski Trip. </w:t>
      </w:r>
    </w:p>
    <w:tbl>
      <w:tblPr>
        <w:tblStyle w:val="TableGrid"/>
        <w:tblW w:w="8980" w:type="dxa"/>
        <w:tblInd w:w="-5" w:type="dxa"/>
        <w:tblLook w:val="04A0" w:firstRow="1" w:lastRow="0" w:firstColumn="1" w:lastColumn="0" w:noHBand="0" w:noVBand="1"/>
      </w:tblPr>
      <w:tblGrid>
        <w:gridCol w:w="1905"/>
        <w:gridCol w:w="7075"/>
      </w:tblGrid>
      <w:tr w:rsidR="004D26FF" w14:paraId="6607649D" w14:textId="77777777" w:rsidTr="00CB0658">
        <w:trPr>
          <w:trHeight w:val="385"/>
        </w:trPr>
        <w:tc>
          <w:tcPr>
            <w:tcW w:w="1905" w:type="dxa"/>
          </w:tcPr>
          <w:p w14:paraId="6F70C57D" w14:textId="5679A62D" w:rsidR="004D26FF" w:rsidRPr="00CB0658" w:rsidRDefault="004D26FF" w:rsidP="004D26FF">
            <w:pPr>
              <w:rPr>
                <w:rFonts w:ascii="Arial" w:hAnsi="Arial" w:cs="Arial"/>
                <w:b/>
                <w:bCs/>
              </w:rPr>
            </w:pPr>
            <w:r w:rsidRPr="00CB0658">
              <w:rPr>
                <w:rFonts w:ascii="Arial" w:hAnsi="Arial" w:cs="Arial"/>
                <w:b/>
                <w:bCs/>
              </w:rPr>
              <w:t xml:space="preserve">Date </w:t>
            </w:r>
          </w:p>
        </w:tc>
        <w:tc>
          <w:tcPr>
            <w:tcW w:w="7075" w:type="dxa"/>
          </w:tcPr>
          <w:p w14:paraId="54554365" w14:textId="1438BD32" w:rsidR="004D26FF" w:rsidRPr="00CB0658" w:rsidRDefault="004D26FF" w:rsidP="004D26FF">
            <w:pPr>
              <w:rPr>
                <w:rFonts w:ascii="Arial" w:hAnsi="Arial" w:cs="Arial"/>
                <w:b/>
                <w:bCs/>
              </w:rPr>
            </w:pPr>
            <w:r w:rsidRPr="00CB0658">
              <w:rPr>
                <w:rFonts w:ascii="Arial" w:hAnsi="Arial" w:cs="Arial"/>
                <w:b/>
                <w:bCs/>
              </w:rPr>
              <w:t>Saturday 28</w:t>
            </w:r>
            <w:r w:rsidRPr="00CB0658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CB0658">
              <w:rPr>
                <w:rFonts w:ascii="Arial" w:hAnsi="Arial" w:cs="Arial"/>
                <w:b/>
                <w:bCs/>
              </w:rPr>
              <w:t xml:space="preserve"> March </w:t>
            </w:r>
            <w:r w:rsidR="00994C79" w:rsidRPr="00CB0658">
              <w:rPr>
                <w:rFonts w:ascii="Arial" w:hAnsi="Arial" w:cs="Arial"/>
                <w:b/>
                <w:bCs/>
              </w:rPr>
              <w:t xml:space="preserve">2026 </w:t>
            </w:r>
            <w:r w:rsidRPr="00CB0658">
              <w:rPr>
                <w:rFonts w:ascii="Arial" w:hAnsi="Arial" w:cs="Arial"/>
                <w:b/>
                <w:bCs/>
              </w:rPr>
              <w:t>– Saturday 4</w:t>
            </w:r>
            <w:r w:rsidRPr="00CB0658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CB0658">
              <w:rPr>
                <w:rFonts w:ascii="Arial" w:hAnsi="Arial" w:cs="Arial"/>
                <w:b/>
                <w:bCs/>
              </w:rPr>
              <w:t xml:space="preserve"> April </w:t>
            </w:r>
            <w:r w:rsidR="00994C79" w:rsidRPr="00CB0658">
              <w:rPr>
                <w:rFonts w:ascii="Arial" w:hAnsi="Arial" w:cs="Arial"/>
                <w:b/>
                <w:bCs/>
              </w:rPr>
              <w:t>2026</w:t>
            </w:r>
          </w:p>
        </w:tc>
      </w:tr>
      <w:tr w:rsidR="004D26FF" w14:paraId="36A38B7D" w14:textId="77777777" w:rsidTr="00CB0658">
        <w:trPr>
          <w:trHeight w:val="414"/>
        </w:trPr>
        <w:tc>
          <w:tcPr>
            <w:tcW w:w="1905" w:type="dxa"/>
          </w:tcPr>
          <w:p w14:paraId="44ABBC98" w14:textId="29A946C0" w:rsidR="004D26FF" w:rsidRPr="00CB0658" w:rsidRDefault="004D26FF" w:rsidP="004D26FF">
            <w:pPr>
              <w:rPr>
                <w:rFonts w:ascii="Arial" w:hAnsi="Arial" w:cs="Arial"/>
                <w:b/>
                <w:bCs/>
              </w:rPr>
            </w:pPr>
            <w:r w:rsidRPr="00CB0658">
              <w:rPr>
                <w:rFonts w:ascii="Arial" w:hAnsi="Arial" w:cs="Arial"/>
                <w:b/>
                <w:bCs/>
              </w:rPr>
              <w:t xml:space="preserve">Location </w:t>
            </w:r>
          </w:p>
        </w:tc>
        <w:tc>
          <w:tcPr>
            <w:tcW w:w="7075" w:type="dxa"/>
          </w:tcPr>
          <w:p w14:paraId="0B6ED9BB" w14:textId="1E77557C" w:rsidR="004D26FF" w:rsidRPr="00CB0658" w:rsidRDefault="00994C79" w:rsidP="004D26FF">
            <w:pPr>
              <w:rPr>
                <w:rFonts w:ascii="Arial" w:hAnsi="Arial" w:cs="Arial"/>
                <w:b/>
                <w:bCs/>
              </w:rPr>
            </w:pPr>
            <w:r w:rsidRPr="00CB0658">
              <w:rPr>
                <w:rFonts w:ascii="Arial" w:hAnsi="Arial" w:cs="Arial"/>
                <w:b/>
                <w:bCs/>
              </w:rPr>
              <w:t xml:space="preserve">La </w:t>
            </w:r>
            <w:proofErr w:type="spellStart"/>
            <w:r w:rsidRPr="00CB0658">
              <w:rPr>
                <w:rFonts w:ascii="Arial" w:hAnsi="Arial" w:cs="Arial"/>
                <w:b/>
                <w:bCs/>
              </w:rPr>
              <w:t>Thuile</w:t>
            </w:r>
            <w:proofErr w:type="spellEnd"/>
            <w:r w:rsidRPr="00CB0658">
              <w:rPr>
                <w:rFonts w:ascii="Arial" w:hAnsi="Arial" w:cs="Arial"/>
                <w:b/>
                <w:bCs/>
              </w:rPr>
              <w:t xml:space="preserve">, Italy </w:t>
            </w:r>
          </w:p>
        </w:tc>
      </w:tr>
      <w:tr w:rsidR="004D26FF" w14:paraId="7A8BD3BD" w14:textId="77777777" w:rsidTr="00CB0658">
        <w:trPr>
          <w:trHeight w:val="385"/>
        </w:trPr>
        <w:tc>
          <w:tcPr>
            <w:tcW w:w="1905" w:type="dxa"/>
          </w:tcPr>
          <w:p w14:paraId="3B2B08DC" w14:textId="0DCB1F51" w:rsidR="004D26FF" w:rsidRPr="00CB0658" w:rsidRDefault="00994C79" w:rsidP="004D26FF">
            <w:pPr>
              <w:rPr>
                <w:rFonts w:ascii="Arial" w:hAnsi="Arial" w:cs="Arial"/>
                <w:b/>
                <w:bCs/>
              </w:rPr>
            </w:pPr>
            <w:r w:rsidRPr="00CB0658">
              <w:rPr>
                <w:rFonts w:ascii="Arial" w:hAnsi="Arial" w:cs="Arial"/>
                <w:b/>
                <w:bCs/>
              </w:rPr>
              <w:t xml:space="preserve">Hotel </w:t>
            </w:r>
          </w:p>
        </w:tc>
        <w:tc>
          <w:tcPr>
            <w:tcW w:w="7075" w:type="dxa"/>
          </w:tcPr>
          <w:p w14:paraId="7CFFC093" w14:textId="4E08717A" w:rsidR="004D26FF" w:rsidRPr="00CB0658" w:rsidRDefault="00994C79" w:rsidP="004D26FF">
            <w:pPr>
              <w:rPr>
                <w:rFonts w:ascii="Arial" w:hAnsi="Arial" w:cs="Arial"/>
                <w:b/>
                <w:bCs/>
              </w:rPr>
            </w:pPr>
            <w:r w:rsidRPr="00CB0658">
              <w:rPr>
                <w:rFonts w:ascii="Arial" w:hAnsi="Arial" w:cs="Arial"/>
                <w:b/>
                <w:bCs/>
              </w:rPr>
              <w:t xml:space="preserve">Residence </w:t>
            </w:r>
            <w:proofErr w:type="spellStart"/>
            <w:r w:rsidRPr="00CB0658">
              <w:rPr>
                <w:rFonts w:ascii="Arial" w:hAnsi="Arial" w:cs="Arial"/>
                <w:b/>
                <w:bCs/>
              </w:rPr>
              <w:t>Planibel</w:t>
            </w:r>
            <w:proofErr w:type="spellEnd"/>
            <w:r w:rsidRPr="00CB065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4D26FF" w14:paraId="3C2E443D" w14:textId="77777777" w:rsidTr="00CB0658">
        <w:trPr>
          <w:trHeight w:val="385"/>
        </w:trPr>
        <w:tc>
          <w:tcPr>
            <w:tcW w:w="1905" w:type="dxa"/>
          </w:tcPr>
          <w:p w14:paraId="6147021A" w14:textId="5EABDEB8" w:rsidR="004D26FF" w:rsidRPr="00CB0658" w:rsidRDefault="00994C79" w:rsidP="004D26FF">
            <w:pPr>
              <w:rPr>
                <w:rFonts w:ascii="Arial" w:hAnsi="Arial" w:cs="Arial"/>
                <w:b/>
                <w:bCs/>
              </w:rPr>
            </w:pPr>
            <w:r w:rsidRPr="00CB0658">
              <w:rPr>
                <w:rFonts w:ascii="Arial" w:hAnsi="Arial" w:cs="Arial"/>
                <w:b/>
                <w:bCs/>
              </w:rPr>
              <w:t xml:space="preserve">Price </w:t>
            </w:r>
          </w:p>
        </w:tc>
        <w:tc>
          <w:tcPr>
            <w:tcW w:w="7075" w:type="dxa"/>
          </w:tcPr>
          <w:p w14:paraId="7C2896CD" w14:textId="0698B984" w:rsidR="004D26FF" w:rsidRPr="00CB0658" w:rsidRDefault="00994C79" w:rsidP="004D26FF">
            <w:pPr>
              <w:rPr>
                <w:rFonts w:ascii="Arial" w:hAnsi="Arial" w:cs="Arial"/>
                <w:b/>
                <w:bCs/>
              </w:rPr>
            </w:pPr>
            <w:r w:rsidRPr="00CB0658">
              <w:rPr>
                <w:rFonts w:ascii="Arial" w:hAnsi="Arial" w:cs="Arial"/>
                <w:b/>
                <w:bCs/>
              </w:rPr>
              <w:t>£15</w:t>
            </w:r>
            <w:r w:rsidR="007D6B16" w:rsidRPr="00CB0658">
              <w:rPr>
                <w:rFonts w:ascii="Arial" w:hAnsi="Arial" w:cs="Arial"/>
                <w:b/>
                <w:bCs/>
              </w:rPr>
              <w:t>7</w:t>
            </w:r>
            <w:r w:rsidRPr="00CB0658">
              <w:rPr>
                <w:rFonts w:ascii="Arial" w:hAnsi="Arial" w:cs="Arial"/>
                <w:b/>
                <w:bCs/>
              </w:rPr>
              <w:t xml:space="preserve">9 per person </w:t>
            </w:r>
          </w:p>
        </w:tc>
      </w:tr>
      <w:tr w:rsidR="0012043F" w14:paraId="56DE7558" w14:textId="77777777" w:rsidTr="00CB0658">
        <w:trPr>
          <w:trHeight w:val="385"/>
        </w:trPr>
        <w:tc>
          <w:tcPr>
            <w:tcW w:w="1905" w:type="dxa"/>
            <w:vMerge w:val="restart"/>
          </w:tcPr>
          <w:p w14:paraId="4308E5E5" w14:textId="28C2D30D" w:rsidR="0012043F" w:rsidRDefault="0012043F" w:rsidP="004D26FF">
            <w:pPr>
              <w:rPr>
                <w:rFonts w:ascii="Arial" w:hAnsi="Arial" w:cs="Arial"/>
                <w:b/>
                <w:bCs/>
              </w:rPr>
            </w:pPr>
            <w:r w:rsidRPr="00CB0658">
              <w:rPr>
                <w:rFonts w:ascii="Arial" w:hAnsi="Arial" w:cs="Arial"/>
                <w:b/>
                <w:bCs/>
              </w:rPr>
              <w:t xml:space="preserve">Deposits </w:t>
            </w:r>
            <w:r w:rsidR="00D02862">
              <w:rPr>
                <w:rFonts w:ascii="Arial" w:hAnsi="Arial" w:cs="Arial"/>
                <w:b/>
                <w:bCs/>
              </w:rPr>
              <w:t>&amp;</w:t>
            </w:r>
          </w:p>
          <w:p w14:paraId="55274F4C" w14:textId="0876F53B" w:rsidR="00D02862" w:rsidRPr="00CB0658" w:rsidRDefault="00D02862" w:rsidP="004D26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Payment Schedule </w:t>
            </w:r>
          </w:p>
          <w:p w14:paraId="63018FDB" w14:textId="2D083613" w:rsidR="0012043F" w:rsidRPr="00CB0658" w:rsidRDefault="0012043F" w:rsidP="004D26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5" w:type="dxa"/>
          </w:tcPr>
          <w:p w14:paraId="4DF8A4FE" w14:textId="13A29C9C" w:rsidR="0012043F" w:rsidRPr="00CB0658" w:rsidRDefault="0012043F" w:rsidP="004D26FF">
            <w:pPr>
              <w:rPr>
                <w:rFonts w:ascii="Arial" w:hAnsi="Arial" w:cs="Arial"/>
                <w:b/>
                <w:bCs/>
              </w:rPr>
            </w:pPr>
            <w:r w:rsidRPr="00CB0658">
              <w:rPr>
                <w:rFonts w:ascii="Arial" w:hAnsi="Arial" w:cs="Arial"/>
                <w:b/>
                <w:bCs/>
              </w:rPr>
              <w:t>£100 by 28</w:t>
            </w:r>
            <w:r w:rsidRPr="00CB0658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CB0658">
              <w:rPr>
                <w:rFonts w:ascii="Arial" w:hAnsi="Arial" w:cs="Arial"/>
                <w:b/>
                <w:bCs/>
              </w:rPr>
              <w:t xml:space="preserve"> May 2025</w:t>
            </w:r>
          </w:p>
        </w:tc>
      </w:tr>
      <w:tr w:rsidR="0012043F" w14:paraId="4452C87D" w14:textId="77777777" w:rsidTr="00CB0658">
        <w:trPr>
          <w:trHeight w:val="385"/>
        </w:trPr>
        <w:tc>
          <w:tcPr>
            <w:tcW w:w="1905" w:type="dxa"/>
            <w:vMerge/>
          </w:tcPr>
          <w:p w14:paraId="6B3A86B4" w14:textId="77777777" w:rsidR="0012043F" w:rsidRPr="00CB0658" w:rsidRDefault="0012043F" w:rsidP="004D26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5" w:type="dxa"/>
          </w:tcPr>
          <w:p w14:paraId="3F4E9263" w14:textId="67A45261" w:rsidR="0012043F" w:rsidRPr="00CB0658" w:rsidRDefault="0012043F" w:rsidP="004D26FF">
            <w:pPr>
              <w:rPr>
                <w:rFonts w:ascii="Arial" w:hAnsi="Arial" w:cs="Arial"/>
                <w:b/>
                <w:bCs/>
              </w:rPr>
            </w:pPr>
            <w:r w:rsidRPr="00CB0658">
              <w:rPr>
                <w:rFonts w:ascii="Arial" w:hAnsi="Arial" w:cs="Arial"/>
                <w:b/>
                <w:bCs/>
              </w:rPr>
              <w:t>£150 by 23</w:t>
            </w:r>
            <w:r w:rsidRPr="00CB0658">
              <w:rPr>
                <w:rFonts w:ascii="Arial" w:hAnsi="Arial" w:cs="Arial"/>
                <w:b/>
                <w:bCs/>
                <w:vertAlign w:val="superscript"/>
              </w:rPr>
              <w:t>rd</w:t>
            </w:r>
            <w:r w:rsidRPr="00CB0658">
              <w:rPr>
                <w:rFonts w:ascii="Arial" w:hAnsi="Arial" w:cs="Arial"/>
                <w:b/>
                <w:bCs/>
              </w:rPr>
              <w:t xml:space="preserve"> July 2025</w:t>
            </w:r>
          </w:p>
        </w:tc>
      </w:tr>
      <w:tr w:rsidR="0012043F" w14:paraId="64B47A60" w14:textId="77777777" w:rsidTr="00CB0658">
        <w:trPr>
          <w:trHeight w:val="385"/>
        </w:trPr>
        <w:tc>
          <w:tcPr>
            <w:tcW w:w="1905" w:type="dxa"/>
            <w:vMerge/>
          </w:tcPr>
          <w:p w14:paraId="202B345E" w14:textId="77777777" w:rsidR="0012043F" w:rsidRPr="00CB0658" w:rsidRDefault="0012043F" w:rsidP="004D26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5" w:type="dxa"/>
          </w:tcPr>
          <w:p w14:paraId="3484C634" w14:textId="0C4374AE" w:rsidR="0012043F" w:rsidRPr="00CB0658" w:rsidRDefault="0012043F" w:rsidP="004D26FF">
            <w:pPr>
              <w:rPr>
                <w:rFonts w:ascii="Arial" w:hAnsi="Arial" w:cs="Arial"/>
                <w:b/>
                <w:bCs/>
              </w:rPr>
            </w:pPr>
            <w:r w:rsidRPr="00CB0658">
              <w:rPr>
                <w:rFonts w:ascii="Arial" w:hAnsi="Arial" w:cs="Arial"/>
                <w:b/>
                <w:bCs/>
              </w:rPr>
              <w:t>£332.25 by 30</w:t>
            </w:r>
            <w:r w:rsidRPr="00CB0658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CB0658">
              <w:rPr>
                <w:rFonts w:ascii="Arial" w:hAnsi="Arial" w:cs="Arial"/>
                <w:b/>
                <w:bCs/>
              </w:rPr>
              <w:t xml:space="preserve"> September 2025</w:t>
            </w:r>
          </w:p>
        </w:tc>
      </w:tr>
      <w:tr w:rsidR="0012043F" w14:paraId="45EA149F" w14:textId="77777777" w:rsidTr="00CB0658">
        <w:trPr>
          <w:trHeight w:val="385"/>
        </w:trPr>
        <w:tc>
          <w:tcPr>
            <w:tcW w:w="1905" w:type="dxa"/>
            <w:vMerge/>
          </w:tcPr>
          <w:p w14:paraId="168C42C6" w14:textId="77777777" w:rsidR="0012043F" w:rsidRPr="00CB0658" w:rsidRDefault="0012043F" w:rsidP="004D26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5" w:type="dxa"/>
          </w:tcPr>
          <w:p w14:paraId="1DEA707C" w14:textId="7198DF04" w:rsidR="0012043F" w:rsidRPr="00CB0658" w:rsidRDefault="0012043F" w:rsidP="004D26FF">
            <w:pPr>
              <w:rPr>
                <w:rFonts w:ascii="Arial" w:hAnsi="Arial" w:cs="Arial"/>
                <w:b/>
                <w:bCs/>
              </w:rPr>
            </w:pPr>
            <w:r w:rsidRPr="00CB0658">
              <w:rPr>
                <w:rFonts w:ascii="Arial" w:hAnsi="Arial" w:cs="Arial"/>
                <w:b/>
                <w:bCs/>
              </w:rPr>
              <w:t>£332.25 by 31</w:t>
            </w:r>
            <w:r w:rsidRPr="00CB0658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 w:rsidRPr="00CB0658">
              <w:rPr>
                <w:rFonts w:ascii="Arial" w:hAnsi="Arial" w:cs="Arial"/>
                <w:b/>
                <w:bCs/>
              </w:rPr>
              <w:t xml:space="preserve"> October 2025</w:t>
            </w:r>
          </w:p>
        </w:tc>
      </w:tr>
      <w:tr w:rsidR="0012043F" w14:paraId="6859731F" w14:textId="77777777" w:rsidTr="00CB0658">
        <w:trPr>
          <w:trHeight w:val="385"/>
        </w:trPr>
        <w:tc>
          <w:tcPr>
            <w:tcW w:w="1905" w:type="dxa"/>
            <w:vMerge/>
          </w:tcPr>
          <w:p w14:paraId="71234241" w14:textId="77777777" w:rsidR="0012043F" w:rsidRPr="00CB0658" w:rsidRDefault="0012043F" w:rsidP="004D26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5" w:type="dxa"/>
          </w:tcPr>
          <w:p w14:paraId="70B19978" w14:textId="048C71AE" w:rsidR="0012043F" w:rsidRPr="00CB0658" w:rsidRDefault="0012043F" w:rsidP="004D26FF">
            <w:pPr>
              <w:rPr>
                <w:rFonts w:ascii="Arial" w:hAnsi="Arial" w:cs="Arial"/>
                <w:b/>
                <w:bCs/>
              </w:rPr>
            </w:pPr>
            <w:r w:rsidRPr="00CB0658">
              <w:rPr>
                <w:rFonts w:ascii="Arial" w:hAnsi="Arial" w:cs="Arial"/>
                <w:b/>
                <w:bCs/>
              </w:rPr>
              <w:t>£332.25 by 30</w:t>
            </w:r>
            <w:r w:rsidRPr="00CB0658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CB0658">
              <w:rPr>
                <w:rFonts w:ascii="Arial" w:hAnsi="Arial" w:cs="Arial"/>
                <w:b/>
                <w:bCs/>
              </w:rPr>
              <w:t xml:space="preserve"> November 2025</w:t>
            </w:r>
          </w:p>
        </w:tc>
      </w:tr>
      <w:tr w:rsidR="0012043F" w14:paraId="7DB62A47" w14:textId="77777777" w:rsidTr="00CB0658">
        <w:trPr>
          <w:trHeight w:val="385"/>
        </w:trPr>
        <w:tc>
          <w:tcPr>
            <w:tcW w:w="1905" w:type="dxa"/>
            <w:vMerge/>
          </w:tcPr>
          <w:p w14:paraId="156AC92F" w14:textId="77777777" w:rsidR="0012043F" w:rsidRPr="00CB0658" w:rsidRDefault="0012043F" w:rsidP="004D26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75" w:type="dxa"/>
          </w:tcPr>
          <w:p w14:paraId="3CB4C353" w14:textId="5B123DCE" w:rsidR="0012043F" w:rsidRPr="00CB0658" w:rsidRDefault="0012043F" w:rsidP="004D26FF">
            <w:pPr>
              <w:rPr>
                <w:rFonts w:ascii="Arial" w:hAnsi="Arial" w:cs="Arial"/>
                <w:b/>
                <w:bCs/>
              </w:rPr>
            </w:pPr>
            <w:r w:rsidRPr="00CB0658">
              <w:rPr>
                <w:rFonts w:ascii="Arial" w:hAnsi="Arial" w:cs="Arial"/>
                <w:b/>
                <w:bCs/>
              </w:rPr>
              <w:t>£333.25 by 1</w:t>
            </w:r>
            <w:r w:rsidRPr="00CB0658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 w:rsidRPr="00CB0658">
              <w:rPr>
                <w:rFonts w:ascii="Arial" w:hAnsi="Arial" w:cs="Arial"/>
                <w:b/>
                <w:bCs/>
              </w:rPr>
              <w:t xml:space="preserve"> January 2016</w:t>
            </w:r>
          </w:p>
        </w:tc>
      </w:tr>
    </w:tbl>
    <w:p w14:paraId="014C0E22" w14:textId="77777777" w:rsidR="00CB0658" w:rsidRDefault="00CB0658" w:rsidP="00D02862">
      <w:pPr>
        <w:jc w:val="both"/>
        <w:rPr>
          <w:rFonts w:ascii="Arial" w:hAnsi="Arial" w:cs="Arial"/>
        </w:rPr>
      </w:pPr>
    </w:p>
    <w:p w14:paraId="58564581" w14:textId="7711CF56" w:rsidR="00994C79" w:rsidRDefault="00994C79" w:rsidP="00D028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students will travel on coach via the ferry to La </w:t>
      </w:r>
      <w:proofErr w:type="spellStart"/>
      <w:r>
        <w:rPr>
          <w:rFonts w:ascii="Arial" w:hAnsi="Arial" w:cs="Arial"/>
        </w:rPr>
        <w:t>Thuile</w:t>
      </w:r>
      <w:proofErr w:type="spellEnd"/>
      <w:r>
        <w:rPr>
          <w:rFonts w:ascii="Arial" w:hAnsi="Arial" w:cs="Arial"/>
        </w:rPr>
        <w:t>, skiing will then start the morning after the arrival at hotel. The chosen hotel is a doorstep skiing resort which takes away the travel to the slopes, meaning students get more time s</w:t>
      </w:r>
      <w:r w:rsidR="00210E2A">
        <w:rPr>
          <w:rFonts w:ascii="Arial" w:hAnsi="Arial" w:cs="Arial"/>
        </w:rPr>
        <w:t>kiing</w:t>
      </w:r>
      <w:r>
        <w:rPr>
          <w:rFonts w:ascii="Arial" w:hAnsi="Arial" w:cs="Arial"/>
        </w:rPr>
        <w:t xml:space="preserve">. </w:t>
      </w:r>
      <w:r w:rsidR="00210E2A">
        <w:rPr>
          <w:rFonts w:ascii="Arial" w:hAnsi="Arial" w:cs="Arial"/>
        </w:rPr>
        <w:t xml:space="preserve">Students will have five days of skiing before departure via </w:t>
      </w:r>
      <w:r w:rsidR="006A49E2">
        <w:rPr>
          <w:rFonts w:ascii="Arial" w:hAnsi="Arial" w:cs="Arial"/>
        </w:rPr>
        <w:t xml:space="preserve">the </w:t>
      </w:r>
      <w:r w:rsidR="00210E2A">
        <w:rPr>
          <w:rFonts w:ascii="Arial" w:hAnsi="Arial" w:cs="Arial"/>
        </w:rPr>
        <w:t>coach home.</w:t>
      </w:r>
    </w:p>
    <w:p w14:paraId="19C91559" w14:textId="49F150DF" w:rsidR="00210E2A" w:rsidRDefault="00210E2A" w:rsidP="00D028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trip cost includes accommodation, breakfast</w:t>
      </w:r>
      <w:r w:rsidR="006A49E2">
        <w:rPr>
          <w:rFonts w:ascii="Arial" w:hAnsi="Arial" w:cs="Arial"/>
        </w:rPr>
        <w:t xml:space="preserve"> and dinner at hotel</w:t>
      </w:r>
      <w:r>
        <w:rPr>
          <w:rFonts w:ascii="Arial" w:hAnsi="Arial" w:cs="Arial"/>
        </w:rPr>
        <w:t xml:space="preserve">, lunch on the slopes, ski passes, ski hire and </w:t>
      </w:r>
      <w:r w:rsidR="0044306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ki lessons with experienced </w:t>
      </w:r>
      <w:proofErr w:type="spellStart"/>
      <w:r>
        <w:rPr>
          <w:rFonts w:ascii="Arial" w:hAnsi="Arial" w:cs="Arial"/>
        </w:rPr>
        <w:t>Interski</w:t>
      </w:r>
      <w:proofErr w:type="spellEnd"/>
      <w:r>
        <w:rPr>
          <w:rFonts w:ascii="Arial" w:hAnsi="Arial" w:cs="Arial"/>
        </w:rPr>
        <w:t xml:space="preserve"> staff. However, an additional fee will be added if your child requires ski jacket</w:t>
      </w:r>
      <w:r w:rsidR="00363DF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or </w:t>
      </w:r>
      <w:r w:rsidR="00363DFF">
        <w:rPr>
          <w:rFonts w:ascii="Arial" w:hAnsi="Arial" w:cs="Arial"/>
        </w:rPr>
        <w:t xml:space="preserve">salopettes </w:t>
      </w:r>
      <w:r>
        <w:rPr>
          <w:rFonts w:ascii="Arial" w:hAnsi="Arial" w:cs="Arial"/>
        </w:rPr>
        <w:t>hire.</w:t>
      </w:r>
    </w:p>
    <w:p w14:paraId="21361518" w14:textId="2FD228D4" w:rsidR="00994C79" w:rsidRDefault="00994C79" w:rsidP="00D028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This trip is a great opportunity to experience skiing for the first time or to develop your skiing on the advance</w:t>
      </w:r>
      <w:r w:rsidR="00210E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slopes. Students will be in ski school </w:t>
      </w:r>
      <w:r w:rsidR="00210E2A">
        <w:rPr>
          <w:rFonts w:ascii="Arial" w:hAnsi="Arial" w:cs="Arial"/>
        </w:rPr>
        <w:t xml:space="preserve">with </w:t>
      </w:r>
      <w:proofErr w:type="spellStart"/>
      <w:r w:rsidR="00210E2A">
        <w:rPr>
          <w:rFonts w:ascii="Arial" w:hAnsi="Arial" w:cs="Arial"/>
        </w:rPr>
        <w:t>Interski</w:t>
      </w:r>
      <w:proofErr w:type="spellEnd"/>
      <w:r w:rsidR="00210E2A">
        <w:rPr>
          <w:rFonts w:ascii="Arial" w:hAnsi="Arial" w:cs="Arial"/>
        </w:rPr>
        <w:t xml:space="preserve"> staff </w:t>
      </w:r>
      <w:r>
        <w:rPr>
          <w:rFonts w:ascii="Arial" w:hAnsi="Arial" w:cs="Arial"/>
        </w:rPr>
        <w:t>for the 5 days</w:t>
      </w:r>
      <w:r w:rsidR="00210E2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where they will be </w:t>
      </w:r>
      <w:r w:rsidR="00210E2A">
        <w:rPr>
          <w:rFonts w:ascii="Arial" w:hAnsi="Arial" w:cs="Arial"/>
        </w:rPr>
        <w:t>grouped</w:t>
      </w:r>
      <w:r>
        <w:rPr>
          <w:rFonts w:ascii="Arial" w:hAnsi="Arial" w:cs="Arial"/>
        </w:rPr>
        <w:t xml:space="preserve"> based on their experience/abilities. </w:t>
      </w:r>
    </w:p>
    <w:p w14:paraId="2D7D1C30" w14:textId="346A53A1" w:rsidR="00475D76" w:rsidRDefault="00210E2A" w:rsidP="00D028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this is something your child </w:t>
      </w:r>
      <w:r w:rsidR="0044306E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interested in attending an initial deposit of £100 will need to be paid via ParentPay by </w:t>
      </w:r>
      <w:r w:rsidR="006A49E2">
        <w:rPr>
          <w:rFonts w:ascii="Arial" w:hAnsi="Arial" w:cs="Arial"/>
        </w:rPr>
        <w:t>28</w:t>
      </w:r>
      <w:r w:rsidR="006A49E2" w:rsidRPr="006A49E2">
        <w:rPr>
          <w:rFonts w:ascii="Arial" w:hAnsi="Arial" w:cs="Arial"/>
          <w:vertAlign w:val="superscript"/>
        </w:rPr>
        <w:t>th</w:t>
      </w:r>
      <w:r w:rsidR="006A49E2">
        <w:rPr>
          <w:rFonts w:ascii="Arial" w:hAnsi="Arial" w:cs="Arial"/>
        </w:rPr>
        <w:t xml:space="preserve"> May 2025</w:t>
      </w:r>
      <w:r w:rsidR="000963D4">
        <w:rPr>
          <w:rFonts w:ascii="Arial" w:hAnsi="Arial" w:cs="Arial"/>
        </w:rPr>
        <w:t>.</w:t>
      </w:r>
      <w:r w:rsidR="00363DFF">
        <w:rPr>
          <w:rFonts w:ascii="Arial" w:hAnsi="Arial" w:cs="Arial"/>
        </w:rPr>
        <w:t xml:space="preserve"> </w:t>
      </w:r>
      <w:r w:rsidR="000963D4">
        <w:rPr>
          <w:rFonts w:ascii="Arial" w:hAnsi="Arial" w:cs="Arial"/>
        </w:rPr>
        <w:t xml:space="preserve">This deposit doesn’t mean your child will automatically have a space on the trip. Your child will be notified with another letter explaining if they have been successful in gaining a space on the trip. Priority will be given to older KS3 students due to </w:t>
      </w:r>
      <w:r w:rsidR="00D02862">
        <w:rPr>
          <w:rFonts w:ascii="Arial" w:hAnsi="Arial" w:cs="Arial"/>
        </w:rPr>
        <w:t xml:space="preserve">them </w:t>
      </w:r>
      <w:bookmarkStart w:id="0" w:name="_GoBack"/>
      <w:bookmarkEnd w:id="0"/>
      <w:r w:rsidR="000963D4">
        <w:rPr>
          <w:rFonts w:ascii="Arial" w:hAnsi="Arial" w:cs="Arial"/>
        </w:rPr>
        <w:t xml:space="preserve">not having the opportunity to ski again with school due to exams. </w:t>
      </w:r>
    </w:p>
    <w:p w14:paraId="138578D0" w14:textId="77777777" w:rsidR="00CB0658" w:rsidRDefault="00CB0658" w:rsidP="004D26FF">
      <w:pPr>
        <w:rPr>
          <w:rFonts w:ascii="Arial" w:hAnsi="Arial" w:cs="Arial"/>
        </w:rPr>
      </w:pPr>
    </w:p>
    <w:p w14:paraId="6A71E312" w14:textId="33D04CAA" w:rsidR="00363DFF" w:rsidRDefault="00363DFF" w:rsidP="004D26FF">
      <w:pPr>
        <w:rPr>
          <w:rFonts w:ascii="Arial" w:hAnsi="Arial" w:cs="Arial"/>
        </w:rPr>
      </w:pPr>
      <w:r>
        <w:rPr>
          <w:rFonts w:ascii="Arial" w:hAnsi="Arial" w:cs="Arial"/>
        </w:rPr>
        <w:t>Kind Regards,</w:t>
      </w:r>
    </w:p>
    <w:p w14:paraId="65EBF83B" w14:textId="45C6C50F" w:rsidR="00363DFF" w:rsidRDefault="00363DFF" w:rsidP="004D26F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Miss Finch</w:t>
      </w:r>
    </w:p>
    <w:p w14:paraId="31AEC057" w14:textId="203A83F2" w:rsidR="00363DFF" w:rsidRPr="004D26FF" w:rsidRDefault="00363DFF" w:rsidP="004D26FF">
      <w:pPr>
        <w:rPr>
          <w:rFonts w:ascii="Arial" w:hAnsi="Arial" w:cs="Arial"/>
        </w:rPr>
      </w:pPr>
      <w:r>
        <w:rPr>
          <w:rFonts w:ascii="Arial" w:hAnsi="Arial" w:cs="Arial"/>
        </w:rPr>
        <w:t>Teacher of PE</w:t>
      </w:r>
    </w:p>
    <w:sectPr w:rsidR="00363DFF" w:rsidRPr="004D26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FF"/>
    <w:rsid w:val="000963D4"/>
    <w:rsid w:val="0012043F"/>
    <w:rsid w:val="00210E2A"/>
    <w:rsid w:val="002A5F39"/>
    <w:rsid w:val="00363DFF"/>
    <w:rsid w:val="0044306E"/>
    <w:rsid w:val="00475D76"/>
    <w:rsid w:val="004D26FF"/>
    <w:rsid w:val="00510D6D"/>
    <w:rsid w:val="006A49E2"/>
    <w:rsid w:val="007D6B16"/>
    <w:rsid w:val="00994C79"/>
    <w:rsid w:val="00CB0658"/>
    <w:rsid w:val="00D0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589FB"/>
  <w15:chartTrackingRefBased/>
  <w15:docId w15:val="{C8E84168-205C-1D40-AD5A-686A9933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2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6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2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6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2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2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2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6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6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6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26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6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6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26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26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26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2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2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2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2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2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26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26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26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26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26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26F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D2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98A684-88A1-41C1-B0E5-84C93F36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Finch</dc:creator>
  <cp:keywords/>
  <dc:description/>
  <cp:lastModifiedBy>Sally Spreckley</cp:lastModifiedBy>
  <cp:revision>2</cp:revision>
  <dcterms:created xsi:type="dcterms:W3CDTF">2025-04-10T08:12:00Z</dcterms:created>
  <dcterms:modified xsi:type="dcterms:W3CDTF">2025-04-10T08:12:00Z</dcterms:modified>
</cp:coreProperties>
</file>